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811" w:rsidRPr="00571F74" w:rsidRDefault="00BB6359" w:rsidP="00200E21">
      <w:pPr>
        <w:spacing w:before="20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mn-MN"/>
        </w:rPr>
        <w:t>Ч</w:t>
      </w:r>
      <w:r w:rsidR="00F66681" w:rsidRPr="00571F74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mn-MN"/>
        </w:rPr>
        <w:t>М</w:t>
      </w:r>
      <w:r w:rsidRPr="00571F74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mn-MN"/>
        </w:rPr>
        <w:t xml:space="preserve">Т-НЫ </w:t>
      </w:r>
      <w:r w:rsidR="00450811" w:rsidRPr="00571F7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ҮҮРЭГ, ХАРИУЦЛАГЫН ХУВААРИЛАЛТ</w:t>
      </w:r>
    </w:p>
    <w:p w:rsidR="00200E21" w:rsidRPr="00571F74" w:rsidRDefault="00200E21" w:rsidP="00200E21">
      <w:pPr>
        <w:spacing w:before="20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450811" w:rsidRPr="00571F74" w:rsidRDefault="00200E21" w:rsidP="00450811">
      <w:pPr>
        <w:numPr>
          <w:ilvl w:val="1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ДЭЭД УДИРДЛАГЫН ҮҮРЭГ</w:t>
      </w: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: </w:t>
      </w:r>
    </w:p>
    <w:p w:rsidR="00450811" w:rsidRPr="00571F74" w:rsidRDefault="00396066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>Байгуулагын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төлөв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байдал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стратегийн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чиглэлтэй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уялдсан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бодлого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зорилтуудыг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болгохыг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хариуцах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нь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бизнес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явцад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нийцүүлж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нэгтгэх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нөхцөлөөр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ажил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үүргийг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мэдэл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хариуцлагыг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хуваарилан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аливаа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нөөцийг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бэлэн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байлгана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бүтээлтэй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нийцлийн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ойлгуулсан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төлөвлөсөн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дүнд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хүрэх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нөхцөлийг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бүрдүүлнэ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-г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бүтээлтэй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байлгахын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тулд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ажилтнуудын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оролцоог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чиглүүлэх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дэмжлэг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үзүүлнэ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Сайжруулалтыг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урамшуулна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9D3C2B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төлөөлөгчийг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томилно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D3C2B">
        <w:rPr>
          <w:rFonts w:ascii="Arial" w:eastAsia="Times New Roman" w:hAnsi="Arial" w:cs="Arial"/>
          <w:color w:val="000000"/>
          <w:sz w:val="24"/>
          <w:szCs w:val="24"/>
          <w:lang w:val="mn-MN"/>
        </w:rPr>
        <w:t>/</w:t>
      </w:r>
      <w:proofErr w:type="gramEnd"/>
      <w:r w:rsidR="009D3C2B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Чанарын менежер/ Чанарын мэргэжилтэн/ </w:t>
      </w:r>
      <w:r w:rsidR="009D3C2B">
        <w:rPr>
          <w:rFonts w:ascii="Arial" w:eastAsia="Times New Roman" w:hAnsi="Arial" w:cs="Arial"/>
          <w:color w:val="000000"/>
          <w:sz w:val="24"/>
          <w:szCs w:val="24"/>
        </w:rPr>
        <w:t xml:space="preserve">ISO </w:t>
      </w:r>
      <w:r w:rsidR="009D3C2B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менежер/ Хэрэглэгчийн үйлчилгээний албаны дарга </w:t>
      </w:r>
    </w:p>
    <w:p w:rsidR="009D3C2B" w:rsidRPr="00571F74" w:rsidRDefault="009D3C2B" w:rsidP="009D3C2B">
      <w:p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төлөвлөсөн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дүнд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хүрэх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нөхцөлийг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бүрдүүлнэ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Бусад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зэргээр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манлайллыг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00E21" w:rsidRPr="00571F74" w:rsidRDefault="00200E21" w:rsidP="00200E21">
      <w:p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200E21" w:rsidP="00450811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ДОТООД АУДИТ ЧАНАР ХАРИУЦСАН АЖИЛТНЫ ҮҮРЭГ</w:t>
      </w: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хууль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зохицуулалтын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ойлгуулж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тогтвортой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мөрдүүлж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ажиллагаандаа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журмыг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хэрэгжилтийг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Баталгаажуулалтын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зөвлөх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сонгон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шалгаруулах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гаднаас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нийлүүлэх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200E2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Байгууллагын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-г ISO9001:2015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стандартад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нийцүүлэхэд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багийг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ахлан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манлайлж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зорилтын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хэрэгжилтийн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менежментийн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хэрэгцээ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шаардлагаас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үүдэн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зорилтод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хурлыг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хуралдуулах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дүгнэлтийг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аудит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сайжруулалтын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396066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Байгууллагын 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хамрах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хүрээ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бодлого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зорилго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хянаж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гүйцэтгэх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удирдлагаар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батлуулж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хэрэгжилтийг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хангуулан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Группийн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бодлого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нөөцийн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бэлэн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гүйцэтгэх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захирлаар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батлуулна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нөхцлөөр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20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Группийн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хэрэгжилт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аудит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баталгаажуулалтын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аудит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хийлгэж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тасралтгүй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сайжруулалт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санаачлагатай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менежментийн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нь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төлөвлөгдөж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үед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менежментийн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нэгдмэл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00E21" w:rsidRPr="00571F74" w:rsidRDefault="00200E21" w:rsidP="00200E21">
      <w:p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00E21" w:rsidRPr="00571F74" w:rsidRDefault="00200E21" w:rsidP="00200E21">
      <w:p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200E21" w:rsidP="00450811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 xml:space="preserve">ЗД </w:t>
      </w: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ОРЛОГЧИЙН ҮҮРЭГ: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гадаад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өгөгдөлд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үндэслэн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стратегийн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боловсруулахад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бүрдүүлэхэд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оролцоо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идэвхийг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урамшууллыг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шийдвэрлэх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гишүүд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өөрсдийн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газар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салбарын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стандартын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өгөгдсөн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даалгаврыг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биелүүлэхэд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тавих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нөхцлийг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бүрдүүлэх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нэвтрүүлэхэд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учруулж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аливаа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бэрхшээлийг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багт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арилгуулах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авахуулах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хамаарах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онцлог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туршлагаар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болсон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мэдлэгүүдийг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цаашид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үүсч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хүртээмжтэй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нөхцлөөр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тохирлын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байдал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ханамжийг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дээшлүүлэх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чадварт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нөлөөлөхүйц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ажиллагааны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эрсдэлүүдийг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урьдчилан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түвшинд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Алдагдлыг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багасгахын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менежментийн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системийн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ашиглана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Гадаад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учирч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бууруулах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буюу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боломжуудад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чиглэсэн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Эрсдэлээс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зайлсхийх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хайхын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үүсвэрийг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арилгах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магадал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буюу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дагаврыг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хуваалцах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шийдвэрийг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ил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замаар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тохиролтой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гаралтад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стандартын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нийлүүлэхтэй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Тэдгээртэй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хөтөлж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хадгална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00E21" w:rsidRDefault="00200E21" w:rsidP="00200E2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571F74" w:rsidRPr="00571F74" w:rsidRDefault="00571F74" w:rsidP="00200E2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571F74" w:rsidP="00450811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 xml:space="preserve">МАРКЕТИНГ, </w:t>
      </w:r>
      <w:r w:rsidR="00200E21"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О</w:t>
      </w:r>
      <w:r w:rsidR="00200E21" w:rsidRPr="00571F74">
        <w:rPr>
          <w:rFonts w:ascii="Arial" w:eastAsia="Times New Roman" w:hAnsi="Arial" w:cs="Arial"/>
          <w:b/>
          <w:color w:val="000000"/>
          <w:sz w:val="24"/>
          <w:szCs w:val="24"/>
        </w:rPr>
        <w:t>ЛОН НИЙТТЭЙ ХАРИЛЦАХ ГАЗРЫН ҮҮРЭГ:</w:t>
      </w:r>
    </w:p>
    <w:p w:rsidR="00200E21" w:rsidRPr="00571F74" w:rsidRDefault="00200E21" w:rsidP="00200E21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ханамжийг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дээшлүүлэхэд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анхаарч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манлайлж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биелүүлнэ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ханамжийн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судалгаа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түвшинг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цаашид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ханамжийг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нэмэгдүүлэх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чиглэлээр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зорилго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Тасралтгүй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ханамжийг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бууруулахад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хүчин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зүйлүүдийг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бусад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газрын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захирлуудтай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хамтран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хамтран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мэдээлэх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мэдээллүүдийг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сонирхогч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талуудад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хүргэнэ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Үүнд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бодлого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алсын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хараа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эрхэм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зорилго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үнэт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зүйлс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стандартын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хэрэгжилтийн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явц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дүгнэлт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гэх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мэт</w:t>
      </w:r>
      <w:proofErr w:type="spellEnd"/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буюу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танилцуулга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өнгө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веб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00E21" w:rsidRPr="00571F74" w:rsidRDefault="00200E21" w:rsidP="00200E21">
      <w:p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50811" w:rsidRPr="00571F74" w:rsidRDefault="00200E21" w:rsidP="00450811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ХҮНИЙ НӨӨЦИЙН УДИРДЛАГЫН ГАЗРЫН ҮҮРЭГ: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ажилтанд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түвшний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өгөх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F6668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оруулах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хувь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нэмэр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хэрэгжүүлээгүйн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улмаас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гарах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хор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уршгийн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ажилтныг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чиглүүлэх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хөтөлбөртөө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тусгах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чиглэлээр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хүлээх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хариуцлагыг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танилцуулах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АБТ-т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тусгах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төвлөрөх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ажиллагаанд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шаардагдах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ДАГ-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захирлын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болгосны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сонгон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шалгаруулалт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чадварыг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гүйцэтгэнэ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нөлөөлөх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сургалтаар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шилжүүлж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чадамжтай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гэрээгээр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Ажилтнууддаа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бодлого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хамаарах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зорилтууд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гүйцэтгэл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сайжирсны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ашиг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нөлөөнд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тэдний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хувь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нэмэр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F66681"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хангаагүйгээс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дагаврыг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ойлгуулах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урсгалаар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хэзээ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юуг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хэрхэн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мэдээлэхийг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9D3C2B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7.4-р бүлэг 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мэдээлэлтэй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тэмдэглэгээ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тайлбар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хэлбэр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тохиромжтой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байдал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зэрэгт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журмын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ангилах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хадгалах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хамгаалах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архивлах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устгах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хөтөлнө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200E21" w:rsidP="00450811">
      <w:pPr>
        <w:numPr>
          <w:ilvl w:val="1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ҮЙЛ АЖИЛЛАГААНЫ ГАЗРЫН ҮҮРЭГ: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шалгалт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хуваарийн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шаардлагуудын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ажиллагааны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хэмжилтийн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үзүүлэлтүүдийг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хэмжиж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тавьж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зорилтуудад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төлөвлөгөөг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нөөц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бололцоогоор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proofErr w:type="gram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газар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салбарын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удирдлагуудыг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чиглүүлэх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орчныг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хэвийн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ялгаварлан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гадуурхалгүй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зүйн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дарамтгүй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зөв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орчин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бүрдүүлэх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гэрэлтүүлэг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аагрын</w:t>
      </w:r>
      <w:proofErr w:type="spellEnd"/>
      <w:proofErr w:type="gram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эхм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чийгшил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эрүүл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ахйу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чимээ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шуугиан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зэргийг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нийлүүлэгчдийн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чадварт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үндэслэн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гүйцэтгэлийг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үнэлэх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/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Сонгон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шалгаруулалтын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журам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сонгох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мониторинг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дахин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үнэлэх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шалгуурыг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нийлүүлэгчтэй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харилцаа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тогтоохоос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өмнө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тавих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магадлах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эдгээр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шаардлагынхаа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гомдлыг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хүлээн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шийвэрлэх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D0C4B" w:rsidRPr="00571F74" w:rsidRDefault="00200E21" w:rsidP="00200E2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IT-</w:t>
      </w:r>
      <w:r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 xml:space="preserve">ИЙН ҮҮРЭГ </w:t>
      </w:r>
    </w:p>
    <w:p w:rsidR="00450811" w:rsidRPr="00571F74" w:rsidRDefault="00F66681" w:rsidP="000D0C4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хамаарах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гадаад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холбоо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харилцааны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асуудлуудыг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Дотоод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гадаад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асуудлуудын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урсгалыг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зохицуулах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буюу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нууц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чухал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алдагдахаас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сэргийлж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урсгалыг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зохицуулж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технологийн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автоматжуулалтын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шинжилгээ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="009D3C2B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Автоматжуулалтын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гаралтаас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үүдэн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тохиролд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залруулга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залруулах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450811">
      <w:pPr>
        <w:numPr>
          <w:ilvl w:val="2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Автоматжуулсан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буй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дата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цуглуулж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анализ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450811" w:rsidRPr="00571F74" w:rsidRDefault="00200E21" w:rsidP="000B6FD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САНХҮҮ БҮРТГЭЛИЙН ГАЗРЫН ҮҮРЭГ:</w:t>
      </w:r>
    </w:p>
    <w:p w:rsidR="00450811" w:rsidRPr="00571F74" w:rsidRDefault="00450811" w:rsidP="000B6FD0">
      <w:pPr>
        <w:pStyle w:val="ListParagraph"/>
        <w:numPr>
          <w:ilvl w:val="2"/>
          <w:numId w:val="3"/>
        </w:numPr>
        <w:spacing w:after="0" w:line="240" w:lineRule="auto"/>
        <w:ind w:hanging="39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тохирсон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байлгахад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бүтцээр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хэвийн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50811" w:rsidRPr="00571F74" w:rsidRDefault="00450811" w:rsidP="000B6FD0">
      <w:pPr>
        <w:numPr>
          <w:ilvl w:val="2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Тогтолцооны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хийхэд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нөөцийн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бэлэн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байдалд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шаардагдах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хөрөнгө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санхүүг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дэмжих</w:t>
      </w:r>
      <w:proofErr w:type="spellEnd"/>
    </w:p>
    <w:p w:rsidR="00450811" w:rsidRPr="00571F74" w:rsidRDefault="00450811" w:rsidP="000B6FD0">
      <w:pPr>
        <w:numPr>
          <w:ilvl w:val="2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өмчтэй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харьцах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хяналтандаа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96066"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0811" w:rsidRPr="00571F74" w:rsidRDefault="00450811" w:rsidP="000B6FD0">
      <w:pPr>
        <w:numPr>
          <w:ilvl w:val="2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D3C2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Хэрэглэгчийн</w:t>
      </w:r>
      <w:proofErr w:type="spellEnd"/>
      <w:r w:rsidRPr="009D3C2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9D3C2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өмчийг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ашиглах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нэгтгэх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түүнийг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тэмдэглэж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хамгаална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450811" w:rsidP="000B6FD0">
      <w:pPr>
        <w:numPr>
          <w:ilvl w:val="2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гадны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нийлүүлэгчийн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өмч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алдагдах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гэмтэх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ашиглах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болгоход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хүргэсэн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тэдэнд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болсон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явдлын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хөтөлж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хадгална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</w:p>
    <w:p w:rsidR="00200E21" w:rsidRPr="00571F74" w:rsidRDefault="00200E21" w:rsidP="000B6FD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 xml:space="preserve">ҮЙЛЧИЛГЭЭНИЙ ГАЗРЫН ҮҮРЭГ 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хэрэгцээ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хүлээлт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персона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стандартын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хэрэгжилтийг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хяналт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тавих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хэрэглэгчдэд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хүргэсний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дараа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түүнд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хамаарах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боломжит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тааламжгүй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дагаврууд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хугацаа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эргэх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хэрэгжүүлнэ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Хэрэглэгчийн </w:t>
      </w:r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үүссэн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тохиолдлуудын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учир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шалтааныг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судалж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арилгах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залруулах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дахин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давтагдахаас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сэргийлж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Эдгээр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тохиролтой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тайлбар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авсан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тохиролцсон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шийдвэр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зэргийг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Хэрэглэгчдэд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тавигдах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Хуулийн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зохицуулалтын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байгууллага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үзсэн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шаардлагууд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хамаарна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хэрэглэгчдээс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ирсэн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санал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гомдлыг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шийдвэрлэж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чадна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гэдгийг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нотлох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нотолгоог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ажиллагааны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газартай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хамтран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өөрчлөлт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орсон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бүрт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холбогдох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ажилтныг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тухай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шалтгаан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мөн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чанар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хугацаа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төвөгшил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зэргийг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хамаарах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хариуцлга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турших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явцад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хэрэглэгч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нарыг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татан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оролцуулах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хэрэгцээ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эсэхийг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тодорхойлно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эсвэл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одоо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байгаа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нь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анхны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шаардлагы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хангасан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эсэхийг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илэрхийлэх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бий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болгоно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numPr>
          <w:ilvl w:val="2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Шинэ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гаргахдаа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ямар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үүргийн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хэмжээнд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ямар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ажлууд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гүйцэтгэх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энэ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чиглэлээр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өмнө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хийгдэж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байсан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ижил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төстэй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боловсруулалтын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мэдээлэл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үйлчилгээнд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таигдах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хуулийн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зохицуулалтын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шаардлага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бүтээгдэхүүн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үйлчилгээ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гаргахтай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холбоотой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гологдол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гарч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болох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санй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муу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дагаврын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талаар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баримтжуулсан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мэдээллийг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хөтөлж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хадгална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200E21" w:rsidRPr="00571F74" w:rsidRDefault="00200E21" w:rsidP="00200E2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00E21" w:rsidRPr="00571F74" w:rsidRDefault="00200E21" w:rsidP="00200E2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450811" w:rsidRPr="00571F74" w:rsidRDefault="00200E21" w:rsidP="000B6FD0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b/>
          <w:color w:val="000000"/>
          <w:sz w:val="24"/>
          <w:szCs w:val="24"/>
        </w:rPr>
        <w:t>БУСАД АЖИЛТНУУДЫН ҮҮРЭГ: </w:t>
      </w:r>
    </w:p>
    <w:p w:rsidR="00450811" w:rsidRPr="00571F74" w:rsidRDefault="00F66681" w:rsidP="000B6FD0">
      <w:pPr>
        <w:numPr>
          <w:ilvl w:val="2"/>
          <w:numId w:val="3"/>
        </w:numPr>
        <w:spacing w:after="0" w:line="240" w:lineRule="auto"/>
        <w:ind w:left="993" w:hanging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-г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бүтээлтэй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байлгахын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тулд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идэвхтэй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оролцоотой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байж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дэмжлэг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үзүүлэх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50811" w:rsidRPr="00571F74" w:rsidRDefault="00450811" w:rsidP="000B6FD0">
      <w:pPr>
        <w:numPr>
          <w:ilvl w:val="2"/>
          <w:numId w:val="3"/>
        </w:numPr>
        <w:spacing w:after="0" w:line="240" w:lineRule="auto"/>
        <w:ind w:left="567" w:firstLine="104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Үйл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явцын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арга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барил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эрсдэлд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суурилсан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сэтгэлгээг</w:t>
      </w:r>
      <w:proofErr w:type="spellEnd"/>
      <w:r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1F74">
        <w:rPr>
          <w:rFonts w:ascii="Arial" w:eastAsia="Times New Roman" w:hAnsi="Arial" w:cs="Arial"/>
          <w:color w:val="000000"/>
          <w:sz w:val="24"/>
          <w:szCs w:val="24"/>
        </w:rPr>
        <w:t>дэмжих</w:t>
      </w:r>
      <w:proofErr w:type="spellEnd"/>
    </w:p>
    <w:p w:rsidR="00450811" w:rsidRPr="00571F74" w:rsidRDefault="00F66681" w:rsidP="000B6FD0">
      <w:pPr>
        <w:numPr>
          <w:ilvl w:val="2"/>
          <w:numId w:val="3"/>
        </w:numPr>
        <w:spacing w:after="0" w:line="240" w:lineRule="auto"/>
        <w:ind w:left="85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1F74">
        <w:rPr>
          <w:rFonts w:ascii="Arial" w:eastAsia="Times New Roman" w:hAnsi="Arial" w:cs="Arial"/>
          <w:color w:val="000000"/>
          <w:sz w:val="24"/>
          <w:szCs w:val="24"/>
        </w:rPr>
        <w:t>ЧМТ</w:t>
      </w:r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төлөвлөсөн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үр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дүнд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хүрэх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нөхцөлийг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бүрдүүлэх</w:t>
      </w:r>
      <w:proofErr w:type="spellEnd"/>
      <w:r w:rsidR="00450811" w:rsidRPr="00571F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0811" w:rsidRPr="00571F74" w:rsidRDefault="00450811" w:rsidP="004508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  <w:sectPr w:rsidR="00450811" w:rsidRPr="00571F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B0EFA" w:rsidRPr="00571F74" w:rsidRDefault="00A56600" w:rsidP="00200E21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sectPr w:rsidR="00EB0EFA" w:rsidRPr="00571F74" w:rsidSect="004508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30B7"/>
    <w:multiLevelType w:val="hybridMultilevel"/>
    <w:tmpl w:val="75384274"/>
    <w:lvl w:ilvl="0" w:tplc="564044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C8D40244">
      <w:start w:val="1"/>
      <w:numFmt w:val="decimal"/>
      <w:lvlText w:val="%3."/>
      <w:lvlJc w:val="right"/>
      <w:pPr>
        <w:ind w:left="89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653C56"/>
    <w:multiLevelType w:val="multilevel"/>
    <w:tmpl w:val="3488A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A66DB"/>
    <w:multiLevelType w:val="multilevel"/>
    <w:tmpl w:val="3488A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11"/>
    <w:rsid w:val="000B6FD0"/>
    <w:rsid w:val="000D0C4B"/>
    <w:rsid w:val="00200E21"/>
    <w:rsid w:val="0028518E"/>
    <w:rsid w:val="003848DC"/>
    <w:rsid w:val="00396066"/>
    <w:rsid w:val="00450811"/>
    <w:rsid w:val="0053395A"/>
    <w:rsid w:val="00563FF5"/>
    <w:rsid w:val="00571F74"/>
    <w:rsid w:val="009D3C2B"/>
    <w:rsid w:val="00A56600"/>
    <w:rsid w:val="00AE05FC"/>
    <w:rsid w:val="00BB6359"/>
    <w:rsid w:val="00C3116A"/>
    <w:rsid w:val="00DE5B6E"/>
    <w:rsid w:val="00DE6AF4"/>
    <w:rsid w:val="00E46C33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7A3D"/>
  <w15:chartTrackingRefBased/>
  <w15:docId w15:val="{8405F482-2FFB-4EDA-B653-E9E917BE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8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Ganbaatar Batkhishig</dc:creator>
  <cp:keywords/>
  <dc:description/>
  <cp:lastModifiedBy>USER</cp:lastModifiedBy>
  <cp:revision>1</cp:revision>
  <dcterms:created xsi:type="dcterms:W3CDTF">2022-02-10T04:42:00Z</dcterms:created>
  <dcterms:modified xsi:type="dcterms:W3CDTF">2022-02-10T04:42:00Z</dcterms:modified>
</cp:coreProperties>
</file>